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3C9629D5" w:rsidR="00F64FFA" w:rsidRDefault="00E65B31">
            <w:pPr>
              <w:pStyle w:val="NoSpacing"/>
            </w:pPr>
            <w:r>
              <w:t>25</w:t>
            </w:r>
            <w:r w:rsidR="00797CBB">
              <w:t xml:space="preserve"> January</w:t>
            </w:r>
            <w:r w:rsidR="008E59CC">
              <w:t xml:space="preserve"> 202</w:t>
            </w:r>
            <w:r w:rsidR="00797CBB">
              <w:t>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1580141A" w:rsidR="00F64FFA" w:rsidRDefault="00D66E1E">
            <w:pPr>
              <w:pStyle w:val="NoSpacing"/>
            </w:pPr>
            <w:r>
              <w:t>IRP</w:t>
            </w:r>
            <w:r w:rsidR="008E59CC">
              <w:t>637</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38FDEBF7" w:rsidR="00F64FFA" w:rsidRDefault="001B2922">
            <w:pPr>
              <w:pStyle w:val="NoSpacing"/>
            </w:pPr>
            <w:r>
              <w:t>TS1</w:t>
            </w:r>
            <w:r w:rsidR="00D66E1E">
              <w:t>188</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0F727DFA" w:rsidR="00F64FFA" w:rsidRDefault="008E59CC">
            <w:pPr>
              <w:pStyle w:val="NoSpacing"/>
            </w:pPr>
            <w:r w:rsidRPr="008E59CC">
              <w:t>Query x-ref - GBCS v3.2 table 13.2.4.4</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7375A31E" w:rsidR="00F64FFA" w:rsidRDefault="006E0247">
            <w:pPr>
              <w:pStyle w:val="NoSpacing"/>
            </w:pPr>
            <w:r>
              <w:t>L+G</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40BA769B" w:rsidR="001B2922" w:rsidRDefault="006E0247" w:rsidP="001B2922">
            <w:pPr>
              <w:pStyle w:val="NoSpacing"/>
            </w:pPr>
            <w:r>
              <w:t>30 August 2019</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2AD8EC44"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555A973F" w:rsidR="005B0CEC" w:rsidRDefault="002B3606" w:rsidP="005B0CEC">
            <w:pPr>
              <w:pStyle w:val="NoSpacing"/>
            </w:pPr>
            <w:r>
              <w:t>GBCS</w:t>
            </w:r>
            <w:r w:rsidR="008E59CC">
              <w:t xml:space="preserve"> v3.2</w:t>
            </w:r>
            <w:r w:rsidR="00797CBB">
              <w:t xml:space="preserve"> &amp; v4.0</w:t>
            </w:r>
          </w:p>
        </w:tc>
      </w:tr>
    </w:tbl>
    <w:p w14:paraId="0B6849ED" w14:textId="79B6E38E" w:rsidR="00F64FFA" w:rsidRDefault="0038696F">
      <w:pPr>
        <w:tabs>
          <w:tab w:val="left" w:pos="2507"/>
        </w:tabs>
        <w:rPr>
          <w:b/>
          <w:sz w:val="24"/>
          <w:szCs w:val="24"/>
        </w:rPr>
      </w:pPr>
      <w:r>
        <w:rPr>
          <w:b/>
          <w:sz w:val="24"/>
          <w:szCs w:val="24"/>
        </w:rPr>
        <w:t>Description:</w:t>
      </w:r>
      <w:r>
        <w:rPr>
          <w:b/>
          <w:sz w:val="24"/>
          <w:szCs w:val="24"/>
        </w:rPr>
        <w:tab/>
      </w:r>
    </w:p>
    <w:p w14:paraId="503CBBB2" w14:textId="77777777" w:rsidR="00141C1E" w:rsidRDefault="00141C1E" w:rsidP="00141C1E">
      <w:r>
        <w:t>IRP424 has clarified in Sec 12.3 that the value for the Subject Unique ID for {root, keyCertSin, management} as 0x0000000000000000, which should be used when it is read back using CS02a.  However, Table 13.2.4.4 for CS02a does not have a cross reference to Sec 12.3.  It includes only Sec 12.4 under Notes.</w:t>
      </w:r>
    </w:p>
    <w:p w14:paraId="7C8DD679" w14:textId="77777777" w:rsidR="00141C1E" w:rsidRDefault="00141C1E" w:rsidP="00141C1E">
      <w:r>
        <w:t>We think the Notes should read "See Section 12.3 and Section 12.4" considering IRP424 has modified Sec 12.3 as highlighted above.</w:t>
      </w:r>
    </w:p>
    <w:p w14:paraId="54435149" w14:textId="72C7F84F" w:rsidR="0003209A" w:rsidRPr="00915E88" w:rsidRDefault="00915E88" w:rsidP="00141C1E">
      <w:pPr>
        <w:rPr>
          <w:bCs/>
          <w:sz w:val="24"/>
          <w:szCs w:val="24"/>
        </w:rPr>
      </w:pPr>
      <w:r>
        <w:rPr>
          <w:bCs/>
          <w:sz w:val="24"/>
          <w:szCs w:val="24"/>
        </w:rPr>
        <w:t xml:space="preserve"> </w:t>
      </w:r>
    </w:p>
    <w:p w14:paraId="06C863B2" w14:textId="5BC5F48B" w:rsidR="00F64FFA" w:rsidRDefault="0038696F">
      <w:pPr>
        <w:rPr>
          <w:b/>
          <w:sz w:val="24"/>
          <w:szCs w:val="24"/>
        </w:rPr>
      </w:pPr>
      <w:r>
        <w:rPr>
          <w:b/>
          <w:sz w:val="24"/>
          <w:szCs w:val="24"/>
        </w:rPr>
        <w:t>Proposed Position:</w:t>
      </w:r>
    </w:p>
    <w:p w14:paraId="742FFC46" w14:textId="30BF4D38" w:rsidR="00417586" w:rsidRDefault="00FF4933" w:rsidP="00A112DB">
      <w:r>
        <w:t xml:space="preserve">GBCS Table 13.2.4.4 details how </w:t>
      </w:r>
      <w:r w:rsidR="006C59CF">
        <w:t>Devices</w:t>
      </w:r>
      <w:r w:rsidR="00A3228A">
        <w:t xml:space="preserve"> </w:t>
      </w:r>
      <w:r w:rsidR="00521F9A">
        <w:t>construct</w:t>
      </w:r>
      <w:r w:rsidR="00A3228A">
        <w:t xml:space="preserve"> Responses to CS02a Commands, including</w:t>
      </w:r>
      <w:r w:rsidR="00E93A27">
        <w:t xml:space="preserve"> the </w:t>
      </w:r>
      <w:r w:rsidR="00035F16" w:rsidRPr="00DF16ED">
        <w:t xml:space="preserve">existingSubjectUniqueID </w:t>
      </w:r>
      <w:r w:rsidR="00E93A27">
        <w:t>field.</w:t>
      </w:r>
    </w:p>
    <w:p w14:paraId="0DA1DAD6" w14:textId="47E19663" w:rsidR="00F37FA9" w:rsidRDefault="00E93A27" w:rsidP="00A112DB">
      <w:r>
        <w:t>As stated above, requi</w:t>
      </w:r>
      <w:r w:rsidR="00DE3951">
        <w:t>rements related to that field are in both sections 12.3 and 12.4</w:t>
      </w:r>
      <w:r w:rsidR="00F37FA9">
        <w:t>:</w:t>
      </w:r>
    </w:p>
    <w:p w14:paraId="76F358A5" w14:textId="4F4F55B2" w:rsidR="00F37FA9" w:rsidRDefault="00AB60F4" w:rsidP="00A63DB6">
      <w:pPr>
        <w:ind w:left="327"/>
      </w:pPr>
      <w:r>
        <w:t>12.4 states:</w:t>
      </w:r>
    </w:p>
    <w:p w14:paraId="31976A6D" w14:textId="1E8CE93D" w:rsidR="00AB60F4" w:rsidRPr="00A63DB6" w:rsidRDefault="00AB60F4" w:rsidP="00A63DB6">
      <w:pPr>
        <w:ind w:left="654"/>
        <w:rPr>
          <w:i/>
          <w:iCs/>
        </w:rPr>
      </w:pPr>
      <w:r w:rsidRPr="00A63DB6">
        <w:rPr>
          <w:i/>
          <w:iCs/>
        </w:rPr>
        <w:t xml:space="preserve">All Remote Parties’ Certificates that </w:t>
      </w:r>
      <w:r w:rsidR="001027A5" w:rsidRPr="00A63DB6">
        <w:rPr>
          <w:i/>
          <w:iCs/>
        </w:rPr>
        <w:t>…</w:t>
      </w:r>
      <w:r w:rsidRPr="00A63DB6">
        <w:rPr>
          <w:i/>
          <w:iCs/>
        </w:rPr>
        <w:t xml:space="preserve">have a X520OrganizationalUnitName </w:t>
      </w:r>
      <w:r w:rsidRPr="00A63DB6">
        <w:rPr>
          <w:b/>
          <w:bCs/>
          <w:i/>
          <w:iCs/>
          <w:u w:val="single"/>
        </w:rPr>
        <w:t>whose value is not root</w:t>
      </w:r>
      <w:r w:rsidRPr="00A63DB6">
        <w:rPr>
          <w:i/>
          <w:iCs/>
        </w:rPr>
        <w:t xml:space="preserve"> </w:t>
      </w:r>
      <w:r w:rsidR="001027A5" w:rsidRPr="00A63DB6">
        <w:rPr>
          <w:i/>
          <w:iCs/>
        </w:rPr>
        <w:t xml:space="preserve">… </w:t>
      </w:r>
      <w:r w:rsidRPr="00A63DB6">
        <w:rPr>
          <w:i/>
          <w:iCs/>
        </w:rPr>
        <w:t>contain a Subject Unique ID whose value shall be the 8 octet Entity Identifier of the subject of the Certificate</w:t>
      </w:r>
      <w:r w:rsidR="001027A5" w:rsidRPr="00A63DB6">
        <w:rPr>
          <w:i/>
          <w:iCs/>
        </w:rPr>
        <w:t>.</w:t>
      </w:r>
    </w:p>
    <w:p w14:paraId="1EDC8435" w14:textId="498F151A" w:rsidR="001027A5" w:rsidRDefault="001027A5" w:rsidP="00A63DB6">
      <w:pPr>
        <w:ind w:left="327"/>
      </w:pPr>
      <w:r>
        <w:t>12.3 states</w:t>
      </w:r>
    </w:p>
    <w:p w14:paraId="428B53E1" w14:textId="78CF5D30" w:rsidR="00F37FA9" w:rsidRPr="00A63DB6" w:rsidRDefault="002D77A9" w:rsidP="00A63DB6">
      <w:pPr>
        <w:ind w:left="654"/>
        <w:rPr>
          <w:i/>
          <w:iCs/>
        </w:rPr>
      </w:pPr>
      <w:r w:rsidRPr="00A63DB6">
        <w:rPr>
          <w:i/>
          <w:iCs/>
        </w:rPr>
        <w:t xml:space="preserve">Certificates </w:t>
      </w:r>
      <w:r w:rsidRPr="00A63DB6">
        <w:rPr>
          <w:b/>
          <w:bCs/>
          <w:i/>
          <w:iCs/>
          <w:u w:val="single"/>
        </w:rPr>
        <w:t xml:space="preserve">where </w:t>
      </w:r>
      <w:r w:rsidRPr="00A63DB6">
        <w:rPr>
          <w:rFonts w:ascii="Courier New" w:hAnsi="Courier New" w:cs="Courier New"/>
          <w:b/>
          <w:bCs/>
          <w:i/>
          <w:iCs/>
          <w:u w:val="single"/>
        </w:rPr>
        <w:t>RemotePartyRole</w:t>
      </w:r>
      <w:r w:rsidRPr="00A63DB6">
        <w:rPr>
          <w:b/>
          <w:bCs/>
          <w:i/>
          <w:iCs/>
          <w:u w:val="single"/>
        </w:rPr>
        <w:t xml:space="preserve"> is </w:t>
      </w:r>
      <w:r w:rsidRPr="00A63DB6">
        <w:rPr>
          <w:rFonts w:ascii="Courier New" w:hAnsi="Courier New" w:cs="Courier New"/>
          <w:b/>
          <w:bCs/>
          <w:i/>
          <w:iCs/>
          <w:u w:val="single"/>
        </w:rPr>
        <w:t>root</w:t>
      </w:r>
      <w:r w:rsidRPr="00A63DB6">
        <w:rPr>
          <w:i/>
          <w:iCs/>
        </w:rPr>
        <w:t xml:space="preserve"> do not have to contain a Subject Unique ID.  Thus, the Device will not have a value provided to it for this field in the </w:t>
      </w:r>
      <w:r w:rsidRPr="00A63DB6">
        <w:rPr>
          <w:rFonts w:ascii="Courier New" w:hAnsi="Courier New" w:cs="Courier New"/>
          <w:i/>
          <w:iCs/>
        </w:rPr>
        <w:t>{root, keyCertSign, management}</w:t>
      </w:r>
      <w:r w:rsidRPr="00A63DB6">
        <w:rPr>
          <w:i/>
          <w:iCs/>
        </w:rPr>
        <w:t xml:space="preserve"> Trust Anchor Cell.  For consistency, Devices shall record a value of 0x0000000000000000 for Subject Unique ID in the </w:t>
      </w:r>
      <w:r w:rsidRPr="00A63DB6">
        <w:rPr>
          <w:rFonts w:ascii="Courier New" w:hAnsi="Courier New" w:cs="Courier New"/>
          <w:i/>
          <w:iCs/>
        </w:rPr>
        <w:t>{root, keyCertSign, management}</w:t>
      </w:r>
      <w:r w:rsidRPr="00A63DB6">
        <w:rPr>
          <w:i/>
          <w:iCs/>
        </w:rPr>
        <w:t xml:space="preserve"> Trust Anchor Cell, and shall use this in responding to Security Credentials Commands, where values for Subject Unique ID are required from this Trust Anchor Cell.</w:t>
      </w:r>
    </w:p>
    <w:p w14:paraId="546563B7" w14:textId="68388818" w:rsidR="00E93A27" w:rsidRDefault="00F37FA9" w:rsidP="00A112DB">
      <w:r>
        <w:t>Therefore,</w:t>
      </w:r>
      <w:r w:rsidR="00DE3951">
        <w:t xml:space="preserve"> it may be helpful to cross reference both</w:t>
      </w:r>
      <w:r w:rsidR="00B32E46">
        <w:t xml:space="preserve"> sections</w:t>
      </w:r>
      <w:r w:rsidR="00290D73">
        <w:t xml:space="preserve"> from Table 13.2.4.4</w:t>
      </w:r>
      <w:r w:rsidR="00B32E46">
        <w:t xml:space="preserve"> in relation to the </w:t>
      </w:r>
      <w:r w:rsidR="00B32E46" w:rsidRPr="00DF16ED">
        <w:t xml:space="preserve">existingSubjectUniqueID </w:t>
      </w:r>
      <w:r w:rsidR="00B32E46">
        <w:t>field</w:t>
      </w:r>
      <w:r w:rsidR="00290D73">
        <w:t xml:space="preserve"> (noting that this has no effect on the requirements).</w:t>
      </w:r>
    </w:p>
    <w:p w14:paraId="0F98251C" w14:textId="5851D99B" w:rsidR="00AA28B7" w:rsidRDefault="00AA28B7" w:rsidP="00A112DB">
      <w:r>
        <w:t>Note</w:t>
      </w:r>
      <w:r w:rsidR="00E265BC">
        <w:t>,</w:t>
      </w:r>
      <w:r>
        <w:t xml:space="preserve"> that the additional </w:t>
      </w:r>
      <w:r w:rsidR="00EA7D9E">
        <w:t>cross-</w:t>
      </w:r>
      <w:r>
        <w:t xml:space="preserve">reference also applies, from GBCS </w:t>
      </w:r>
      <w:r w:rsidR="008E59CC">
        <w:t>v</w:t>
      </w:r>
      <w:r>
        <w:t>4.0, to Use Case CS02f</w:t>
      </w:r>
      <w:r w:rsidR="002D773A">
        <w:t>, sinc</w:t>
      </w:r>
      <w:r w:rsidR="00E265BC">
        <w:t>e</w:t>
      </w:r>
      <w:r w:rsidR="002D773A">
        <w:t xml:space="preserve"> section 13.</w:t>
      </w:r>
      <w:r w:rsidR="00DC229F">
        <w:t xml:space="preserve">9.4 states that, in relation to CS02f, </w:t>
      </w:r>
      <w:r w:rsidR="00DC229F" w:rsidRPr="00DC229F">
        <w:rPr>
          <w:i/>
          <w:iCs/>
        </w:rPr>
        <w:t xml:space="preserve">‘The requirements of Section </w:t>
      </w:r>
      <w:r w:rsidR="00DC229F" w:rsidRPr="00DC229F">
        <w:rPr>
          <w:i/>
          <w:iCs/>
        </w:rPr>
        <w:fldChar w:fldCharType="begin"/>
      </w:r>
      <w:r w:rsidR="00DC229F" w:rsidRPr="00DC229F">
        <w:rPr>
          <w:i/>
          <w:iCs/>
        </w:rPr>
        <w:instrText xml:space="preserve"> REF _Ref378350302 \r \h </w:instrText>
      </w:r>
      <w:r w:rsidR="00DC229F">
        <w:rPr>
          <w:i/>
          <w:iCs/>
        </w:rPr>
        <w:instrText xml:space="preserve"> \* MERGEFORMAT </w:instrText>
      </w:r>
      <w:r w:rsidR="00DC229F" w:rsidRPr="00DC229F">
        <w:rPr>
          <w:i/>
          <w:iCs/>
        </w:rPr>
      </w:r>
      <w:r w:rsidR="00DC229F" w:rsidRPr="00DC229F">
        <w:rPr>
          <w:i/>
          <w:iCs/>
        </w:rPr>
        <w:fldChar w:fldCharType="separate"/>
      </w:r>
      <w:r w:rsidR="00DC229F" w:rsidRPr="00DC229F">
        <w:rPr>
          <w:i/>
          <w:iCs/>
        </w:rPr>
        <w:t>13.2.4</w:t>
      </w:r>
      <w:r w:rsidR="00DC229F" w:rsidRPr="00DC229F">
        <w:rPr>
          <w:i/>
          <w:iCs/>
        </w:rPr>
        <w:fldChar w:fldCharType="end"/>
      </w:r>
      <w:r w:rsidR="00DC229F" w:rsidRPr="00DC229F">
        <w:rPr>
          <w:i/>
          <w:iCs/>
        </w:rPr>
        <w:t>, and all sub-sections of it, shall apply’</w:t>
      </w:r>
      <w:r w:rsidR="00DC229F">
        <w:rPr>
          <w:i/>
          <w:iCs/>
        </w:rPr>
        <w:t>.</w:t>
      </w:r>
    </w:p>
    <w:p w14:paraId="59CF1497" w14:textId="77777777" w:rsidR="008E7893" w:rsidRPr="0084101E" w:rsidRDefault="008E7893" w:rsidP="0084101E">
      <w:pPr>
        <w:rPr>
          <w:bCs/>
        </w:rPr>
      </w:pPr>
    </w:p>
    <w:p w14:paraId="4FA9F35C" w14:textId="354CD16B" w:rsidR="00F64FFA" w:rsidRDefault="0038696F">
      <w:pPr>
        <w:rPr>
          <w:b/>
          <w:sz w:val="24"/>
          <w:szCs w:val="24"/>
        </w:rPr>
      </w:pPr>
      <w:r>
        <w:rPr>
          <w:b/>
          <w:sz w:val="24"/>
          <w:szCs w:val="24"/>
        </w:rPr>
        <w:t xml:space="preserve">Interoperability and / or Compatibility </w:t>
      </w:r>
    </w:p>
    <w:p w14:paraId="5B39F16C" w14:textId="2C3A85A3" w:rsidR="001B2922" w:rsidRDefault="00B95895">
      <w:pPr>
        <w:rPr>
          <w:rFonts w:eastAsia="Times New Roman" w:cs="Arial"/>
          <w:color w:val="000000"/>
          <w:lang w:eastAsia="en-GB"/>
        </w:rPr>
      </w:pPr>
      <w:r>
        <w:rPr>
          <w:rFonts w:eastAsia="Times New Roman" w:cs="Arial"/>
          <w:color w:val="000000"/>
          <w:lang w:eastAsia="en-GB"/>
        </w:rPr>
        <w:t>This change only adds a cross reference between requirements</w:t>
      </w:r>
      <w:r w:rsidR="00CC712A">
        <w:rPr>
          <w:rFonts w:eastAsia="Times New Roman" w:cs="Arial"/>
          <w:color w:val="000000"/>
          <w:lang w:eastAsia="en-GB"/>
        </w:rPr>
        <w:t xml:space="preserve">. </w:t>
      </w:r>
      <w:r w:rsidR="00E265BC">
        <w:rPr>
          <w:rFonts w:eastAsia="Times New Roman" w:cs="Arial"/>
          <w:color w:val="000000"/>
          <w:lang w:eastAsia="en-GB"/>
        </w:rPr>
        <w:t xml:space="preserve"> </w:t>
      </w:r>
      <w:r w:rsidR="00452750">
        <w:rPr>
          <w:rFonts w:eastAsia="Times New Roman" w:cs="Arial"/>
          <w:color w:val="000000"/>
          <w:lang w:eastAsia="en-GB"/>
        </w:rPr>
        <w:t>Therefore, it has</w:t>
      </w:r>
      <w:r w:rsidR="001B2922" w:rsidRPr="0011199E">
        <w:rPr>
          <w:rFonts w:eastAsia="Times New Roman" w:cs="Arial"/>
          <w:color w:val="000000"/>
          <w:lang w:eastAsia="en-GB"/>
        </w:rPr>
        <w:t xml:space="preserve"> no impact on </w:t>
      </w:r>
      <w:r w:rsidR="00C76F4C">
        <w:rPr>
          <w:rFonts w:eastAsia="Times New Roman" w:cs="Arial"/>
          <w:color w:val="000000"/>
          <w:lang w:eastAsia="en-GB"/>
        </w:rPr>
        <w:t xml:space="preserve">DCC Users, consumers, </w:t>
      </w:r>
      <w:r w:rsidR="001B2922" w:rsidRPr="0011199E">
        <w:rPr>
          <w:rFonts w:eastAsia="Times New Roman" w:cs="Arial"/>
          <w:color w:val="000000"/>
          <w:lang w:eastAsia="en-GB"/>
        </w:rPr>
        <w:t>systems or Devices.</w:t>
      </w:r>
    </w:p>
    <w:p w14:paraId="6CA3B840" w14:textId="77777777" w:rsidR="00CC3C81" w:rsidRPr="0011199E" w:rsidRDefault="00CC3C81">
      <w:pPr>
        <w:rPr>
          <w:rFonts w:eastAsia="Times New Roman" w:cs="Arial"/>
          <w:color w:val="000000"/>
          <w:lang w:eastAsia="en-GB"/>
        </w:rPr>
      </w:pPr>
    </w:p>
    <w:p w14:paraId="4055622C" w14:textId="553ADFC7" w:rsidR="00F64FFA" w:rsidRDefault="0038696F">
      <w:pPr>
        <w:rPr>
          <w:b/>
          <w:sz w:val="24"/>
          <w:szCs w:val="24"/>
        </w:rPr>
      </w:pPr>
      <w:r>
        <w:rPr>
          <w:b/>
          <w:sz w:val="24"/>
          <w:szCs w:val="24"/>
        </w:rPr>
        <w:t>Required Changes to Documentation:</w:t>
      </w:r>
    </w:p>
    <w:p w14:paraId="4EA7B6A0" w14:textId="59F580C8" w:rsidR="00692659" w:rsidRPr="00692659" w:rsidRDefault="00692659">
      <w:pPr>
        <w:rPr>
          <w:bCs/>
          <w:sz w:val="24"/>
          <w:szCs w:val="24"/>
        </w:rPr>
      </w:pPr>
      <w:r w:rsidRPr="00692659">
        <w:rPr>
          <w:bCs/>
          <w:sz w:val="24"/>
          <w:szCs w:val="24"/>
        </w:rPr>
        <w:t>Add the reference to GBCS</w:t>
      </w:r>
      <w:r w:rsidR="00E265BC">
        <w:rPr>
          <w:bCs/>
          <w:sz w:val="24"/>
          <w:szCs w:val="24"/>
        </w:rPr>
        <w:t>,</w:t>
      </w:r>
      <w:r w:rsidRPr="00692659">
        <w:rPr>
          <w:bCs/>
          <w:sz w:val="24"/>
          <w:szCs w:val="24"/>
        </w:rPr>
        <w:t xml:space="preserve"> Table 13.2.4.4</w:t>
      </w:r>
      <w:r w:rsidR="00E265BC">
        <w:rPr>
          <w:bCs/>
          <w:sz w:val="24"/>
          <w:szCs w:val="24"/>
        </w:rPr>
        <w:t>,</w:t>
      </w:r>
      <w:r w:rsidRPr="00692659">
        <w:rPr>
          <w:bCs/>
          <w:sz w:val="24"/>
          <w:szCs w:val="24"/>
        </w:rPr>
        <w:t xml:space="preserve"> as shown</w:t>
      </w:r>
      <w:r w:rsidR="00E265BC">
        <w:rPr>
          <w:bCs/>
          <w:sz w:val="24"/>
          <w:szCs w:val="24"/>
        </w:rPr>
        <w:t xml:space="preserve"> in the mark-up below</w:t>
      </w:r>
      <w:r w:rsidRPr="00692659">
        <w:rPr>
          <w:bCs/>
          <w:sz w:val="24"/>
          <w:szCs w:val="24"/>
        </w:rPr>
        <w:t>:</w:t>
      </w:r>
    </w:p>
    <w:p w14:paraId="7C47143C" w14:textId="7CE84EE2" w:rsidR="002B3606" w:rsidRDefault="00452750" w:rsidP="000465AF">
      <w:pPr>
        <w:rPr>
          <w:sz w:val="16"/>
          <w:szCs w:val="16"/>
        </w:rPr>
      </w:pPr>
      <w:r w:rsidRPr="00452750">
        <w:rPr>
          <w:i/>
          <w:iCs/>
          <w:noProof/>
          <w:sz w:val="16"/>
          <w:szCs w:val="16"/>
        </w:rPr>
        <w:drawing>
          <wp:inline distT="0" distB="0" distL="0" distR="0" wp14:anchorId="5BED73FB" wp14:editId="7AADB60C">
            <wp:extent cx="5760720" cy="2078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078990"/>
                    </a:xfrm>
                    <a:prstGeom prst="rect">
                      <a:avLst/>
                    </a:prstGeom>
                  </pic:spPr>
                </pic:pic>
              </a:graphicData>
            </a:graphic>
          </wp:inline>
        </w:drawing>
      </w:r>
    </w:p>
    <w:p w14:paraId="772724A4" w14:textId="77777777" w:rsidR="00E265BC" w:rsidRPr="00E265BC" w:rsidRDefault="00E265BC" w:rsidP="000465AF">
      <w:pPr>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1A852797" w:rsidR="005B0CEC" w:rsidRPr="00E265BC" w:rsidRDefault="00E265BC" w:rsidP="00E265BC">
            <w:pPr>
              <w:pStyle w:val="NoSpacing"/>
              <w:spacing w:before="120" w:after="120"/>
              <w:rPr>
                <w:bCs/>
              </w:rPr>
            </w:pPr>
            <w:r w:rsidRPr="00E265BC">
              <w:rPr>
                <w:bCs/>
              </w:rPr>
              <w:t xml:space="preserve">This IRP purely adds a cross reference and has no effect on any Party. </w:t>
            </w:r>
          </w:p>
        </w:tc>
      </w:tr>
    </w:tbl>
    <w:p w14:paraId="3CAB3305" w14:textId="0ED12168" w:rsidR="005B0CEC" w:rsidRDefault="005B0CEC" w:rsidP="00E2557A">
      <w:pPr>
        <w:spacing w:before="0" w:after="0"/>
      </w:pPr>
    </w:p>
    <w:p w14:paraId="07FB5D6A" w14:textId="77777777" w:rsidR="005B0CEC" w:rsidRDefault="005B0CEC" w:rsidP="00E2557A">
      <w:pPr>
        <w:spacing w:before="0" w:after="0"/>
      </w:pPr>
    </w:p>
    <w:sectPr w:rsidR="005B0CEC">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8C82B" w14:textId="77777777" w:rsidR="003A296B" w:rsidRDefault="003A296B">
      <w:pPr>
        <w:spacing w:before="0" w:after="0"/>
      </w:pPr>
      <w:r>
        <w:separator/>
      </w:r>
    </w:p>
  </w:endnote>
  <w:endnote w:type="continuationSeparator" w:id="0">
    <w:p w14:paraId="15652A43" w14:textId="77777777" w:rsidR="003A296B" w:rsidRDefault="003A29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07EA1" w14:textId="77777777" w:rsidR="003A296B" w:rsidRDefault="003A296B">
      <w:pPr>
        <w:spacing w:before="0" w:after="0"/>
      </w:pPr>
      <w:r>
        <w:separator/>
      </w:r>
    </w:p>
  </w:footnote>
  <w:footnote w:type="continuationSeparator" w:id="0">
    <w:p w14:paraId="14354B6C" w14:textId="77777777" w:rsidR="003A296B" w:rsidRDefault="003A29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6"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0"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10"/>
  </w:num>
  <w:num w:numId="5">
    <w:abstractNumId w:val="10"/>
    <w:lvlOverride w:ilvl="0">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 w:numId="13">
    <w:abstractNumId w:val="14"/>
  </w:num>
  <w:num w:numId="14">
    <w:abstractNumId w:val="1"/>
  </w:num>
  <w:num w:numId="15">
    <w:abstractNumId w:val="12"/>
  </w:num>
  <w:num w:numId="16">
    <w:abstractNumId w:val="15"/>
  </w:num>
  <w:num w:numId="17">
    <w:abstractNumId w:val="5"/>
  </w:num>
  <w:num w:numId="18">
    <w:abstractNumId w:val="13"/>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32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3209A"/>
    <w:rsid w:val="00035F16"/>
    <w:rsid w:val="00044CD3"/>
    <w:rsid w:val="000465AF"/>
    <w:rsid w:val="000556BC"/>
    <w:rsid w:val="00066E0C"/>
    <w:rsid w:val="0007051A"/>
    <w:rsid w:val="00077B30"/>
    <w:rsid w:val="00094E94"/>
    <w:rsid w:val="000B7CA5"/>
    <w:rsid w:val="000C1B33"/>
    <w:rsid w:val="000E66EC"/>
    <w:rsid w:val="000E7978"/>
    <w:rsid w:val="001027A5"/>
    <w:rsid w:val="0011199E"/>
    <w:rsid w:val="001129E1"/>
    <w:rsid w:val="00113ACE"/>
    <w:rsid w:val="00123BCE"/>
    <w:rsid w:val="0014127D"/>
    <w:rsid w:val="00141C1E"/>
    <w:rsid w:val="00142A5D"/>
    <w:rsid w:val="001574F7"/>
    <w:rsid w:val="001805C4"/>
    <w:rsid w:val="0018198F"/>
    <w:rsid w:val="001A242E"/>
    <w:rsid w:val="001B2922"/>
    <w:rsid w:val="001C781A"/>
    <w:rsid w:val="001D0AA8"/>
    <w:rsid w:val="001E227B"/>
    <w:rsid w:val="001F55F2"/>
    <w:rsid w:val="00210851"/>
    <w:rsid w:val="00221578"/>
    <w:rsid w:val="00225566"/>
    <w:rsid w:val="00290D73"/>
    <w:rsid w:val="002B3606"/>
    <w:rsid w:val="002C046B"/>
    <w:rsid w:val="002D1B0F"/>
    <w:rsid w:val="002D773A"/>
    <w:rsid w:val="002D77A9"/>
    <w:rsid w:val="002E5B58"/>
    <w:rsid w:val="002E5E78"/>
    <w:rsid w:val="00310658"/>
    <w:rsid w:val="003658A8"/>
    <w:rsid w:val="00365AE7"/>
    <w:rsid w:val="00367259"/>
    <w:rsid w:val="003723C8"/>
    <w:rsid w:val="00382AFD"/>
    <w:rsid w:val="0038696F"/>
    <w:rsid w:val="003A277E"/>
    <w:rsid w:val="003A296B"/>
    <w:rsid w:val="00417586"/>
    <w:rsid w:val="00420E5A"/>
    <w:rsid w:val="00421F2D"/>
    <w:rsid w:val="004232C7"/>
    <w:rsid w:val="00432595"/>
    <w:rsid w:val="00447825"/>
    <w:rsid w:val="00452750"/>
    <w:rsid w:val="0047062D"/>
    <w:rsid w:val="00470EB3"/>
    <w:rsid w:val="00491A13"/>
    <w:rsid w:val="004A2CA1"/>
    <w:rsid w:val="004A4BDF"/>
    <w:rsid w:val="004F422B"/>
    <w:rsid w:val="00521F9A"/>
    <w:rsid w:val="00530D16"/>
    <w:rsid w:val="00536D68"/>
    <w:rsid w:val="00551EFA"/>
    <w:rsid w:val="005611B6"/>
    <w:rsid w:val="00562558"/>
    <w:rsid w:val="00564C81"/>
    <w:rsid w:val="005704C5"/>
    <w:rsid w:val="005A7D78"/>
    <w:rsid w:val="005B0CEC"/>
    <w:rsid w:val="005D705D"/>
    <w:rsid w:val="00605321"/>
    <w:rsid w:val="0062732E"/>
    <w:rsid w:val="00673DF3"/>
    <w:rsid w:val="00676FF2"/>
    <w:rsid w:val="00692659"/>
    <w:rsid w:val="006A55DF"/>
    <w:rsid w:val="006A6DAC"/>
    <w:rsid w:val="006C59CF"/>
    <w:rsid w:val="006E0247"/>
    <w:rsid w:val="006F4FF2"/>
    <w:rsid w:val="00700E22"/>
    <w:rsid w:val="007053A5"/>
    <w:rsid w:val="007106F5"/>
    <w:rsid w:val="00731B78"/>
    <w:rsid w:val="00762008"/>
    <w:rsid w:val="00764F69"/>
    <w:rsid w:val="00784211"/>
    <w:rsid w:val="00791C6E"/>
    <w:rsid w:val="00797CBB"/>
    <w:rsid w:val="007D65F3"/>
    <w:rsid w:val="0080407E"/>
    <w:rsid w:val="00823B1A"/>
    <w:rsid w:val="0083606D"/>
    <w:rsid w:val="00837B6E"/>
    <w:rsid w:val="0084101E"/>
    <w:rsid w:val="00851104"/>
    <w:rsid w:val="008534C6"/>
    <w:rsid w:val="00882CA5"/>
    <w:rsid w:val="00885143"/>
    <w:rsid w:val="008931DC"/>
    <w:rsid w:val="00897CDD"/>
    <w:rsid w:val="008A3C12"/>
    <w:rsid w:val="008B2E20"/>
    <w:rsid w:val="008D64EF"/>
    <w:rsid w:val="008E59CC"/>
    <w:rsid w:val="008E7893"/>
    <w:rsid w:val="0090564D"/>
    <w:rsid w:val="00911A71"/>
    <w:rsid w:val="0091271F"/>
    <w:rsid w:val="00915E88"/>
    <w:rsid w:val="0092795F"/>
    <w:rsid w:val="00931228"/>
    <w:rsid w:val="00953E29"/>
    <w:rsid w:val="00973EAA"/>
    <w:rsid w:val="009A4200"/>
    <w:rsid w:val="009A4B62"/>
    <w:rsid w:val="009A78E1"/>
    <w:rsid w:val="009B6D4E"/>
    <w:rsid w:val="009E2B35"/>
    <w:rsid w:val="009E72B4"/>
    <w:rsid w:val="009E75DE"/>
    <w:rsid w:val="00A112DB"/>
    <w:rsid w:val="00A1345F"/>
    <w:rsid w:val="00A3228A"/>
    <w:rsid w:val="00A415A6"/>
    <w:rsid w:val="00A5531B"/>
    <w:rsid w:val="00A63DB6"/>
    <w:rsid w:val="00A7778D"/>
    <w:rsid w:val="00AA28B7"/>
    <w:rsid w:val="00AA4F21"/>
    <w:rsid w:val="00AB60F4"/>
    <w:rsid w:val="00AB634D"/>
    <w:rsid w:val="00AC4E3F"/>
    <w:rsid w:val="00AD4D30"/>
    <w:rsid w:val="00AE1580"/>
    <w:rsid w:val="00AE3A26"/>
    <w:rsid w:val="00AE4AFF"/>
    <w:rsid w:val="00B12CFF"/>
    <w:rsid w:val="00B16330"/>
    <w:rsid w:val="00B32E46"/>
    <w:rsid w:val="00B36168"/>
    <w:rsid w:val="00B5030A"/>
    <w:rsid w:val="00B759A9"/>
    <w:rsid w:val="00B83E02"/>
    <w:rsid w:val="00B8684D"/>
    <w:rsid w:val="00B95895"/>
    <w:rsid w:val="00BA4DE3"/>
    <w:rsid w:val="00BB4583"/>
    <w:rsid w:val="00BB7A0A"/>
    <w:rsid w:val="00BD6697"/>
    <w:rsid w:val="00BE0581"/>
    <w:rsid w:val="00BF1187"/>
    <w:rsid w:val="00C1733E"/>
    <w:rsid w:val="00C21BCA"/>
    <w:rsid w:val="00C327FB"/>
    <w:rsid w:val="00C60063"/>
    <w:rsid w:val="00C76F4C"/>
    <w:rsid w:val="00C801A5"/>
    <w:rsid w:val="00C80AE6"/>
    <w:rsid w:val="00C8714E"/>
    <w:rsid w:val="00CA10D5"/>
    <w:rsid w:val="00CA5FF8"/>
    <w:rsid w:val="00CB6545"/>
    <w:rsid w:val="00CC3C81"/>
    <w:rsid w:val="00CC59E2"/>
    <w:rsid w:val="00CC6AA8"/>
    <w:rsid w:val="00CC712A"/>
    <w:rsid w:val="00CD7194"/>
    <w:rsid w:val="00CE50DF"/>
    <w:rsid w:val="00CF6BBC"/>
    <w:rsid w:val="00D134D1"/>
    <w:rsid w:val="00D13946"/>
    <w:rsid w:val="00D16413"/>
    <w:rsid w:val="00D37008"/>
    <w:rsid w:val="00D375DD"/>
    <w:rsid w:val="00D47456"/>
    <w:rsid w:val="00D52672"/>
    <w:rsid w:val="00D5340F"/>
    <w:rsid w:val="00D6368C"/>
    <w:rsid w:val="00D64540"/>
    <w:rsid w:val="00D66E1E"/>
    <w:rsid w:val="00D96C4E"/>
    <w:rsid w:val="00DC229F"/>
    <w:rsid w:val="00DC5DB4"/>
    <w:rsid w:val="00DE34E8"/>
    <w:rsid w:val="00DE3895"/>
    <w:rsid w:val="00DE3951"/>
    <w:rsid w:val="00E13B7A"/>
    <w:rsid w:val="00E2557A"/>
    <w:rsid w:val="00E265BC"/>
    <w:rsid w:val="00E277FC"/>
    <w:rsid w:val="00E4565F"/>
    <w:rsid w:val="00E456FC"/>
    <w:rsid w:val="00E51321"/>
    <w:rsid w:val="00E52AF6"/>
    <w:rsid w:val="00E54F41"/>
    <w:rsid w:val="00E604F0"/>
    <w:rsid w:val="00E64504"/>
    <w:rsid w:val="00E65B31"/>
    <w:rsid w:val="00E92568"/>
    <w:rsid w:val="00E93A27"/>
    <w:rsid w:val="00EA7D9E"/>
    <w:rsid w:val="00ED1BEC"/>
    <w:rsid w:val="00ED5361"/>
    <w:rsid w:val="00EE191C"/>
    <w:rsid w:val="00F00CB3"/>
    <w:rsid w:val="00F37FA9"/>
    <w:rsid w:val="00F433E2"/>
    <w:rsid w:val="00F52887"/>
    <w:rsid w:val="00F64FFA"/>
    <w:rsid w:val="00F90C99"/>
    <w:rsid w:val="00FA69BB"/>
    <w:rsid w:val="00FB28C3"/>
    <w:rsid w:val="00FC5942"/>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8" ma:contentTypeDescription="Create a new document." ma:contentTypeScope="" ma:versionID="d222a70a2309a844eba22e81d3fec13f">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18553bfefa2a97e7e4724cfddf0846a3"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MediaLengthInSeconds" ma:index="8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2.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3.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4.xml><?xml version="1.0" encoding="utf-8"?>
<ds:datastoreItem xmlns:ds="http://schemas.openxmlformats.org/officeDocument/2006/customXml" ds:itemID="{854C63D5-7A63-490D-A77E-7FCEEAE82334}"/>
</file>

<file path=customXml/itemProps5.xml><?xml version="1.0" encoding="utf-8"?>
<ds:datastoreItem xmlns:ds="http://schemas.openxmlformats.org/officeDocument/2006/customXml" ds:itemID="{DF483DB9-B2F5-4633-B7C1-F90E111FDE5D}"/>
</file>

<file path=docProps/app.xml><?xml version="1.0" encoding="utf-8"?>
<Properties xmlns="http://schemas.openxmlformats.org/officeDocument/2006/extended-properties" xmlns:vt="http://schemas.openxmlformats.org/officeDocument/2006/docPropsVTypes">
  <Template>Normal</Template>
  <TotalTime>12</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 John (Smart Metering Implementation Programme - Delivery)</cp:lastModifiedBy>
  <cp:revision>5</cp:revision>
  <cp:lastPrinted>2015-04-24T12:01:00Z</cp:lastPrinted>
  <dcterms:created xsi:type="dcterms:W3CDTF">2020-10-27T09:38:00Z</dcterms:created>
  <dcterms:modified xsi:type="dcterms:W3CDTF">2021-01-25T15:31:00Z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2;#Delivery|125c2427-d936-4032-b69a-60fc431a04d2</vt:lpwstr>
  </property>
  <property fmtid="{D5CDD505-2E9C-101B-9397-08002B2CF9AE}" pid="19" name="_dlc_DocIdItemGuid">
    <vt:lpwstr>036a1635-b886-4d1d-9e03-3e69174e733e</vt:lpwstr>
  </property>
</Properties>
</file>